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5B2054">
        <w:rPr>
          <w:rFonts w:ascii="TimesNewRomanPSMT" w:hAnsi="TimesNewRomanPSMT" w:cs="TimesNewRomanPSMT"/>
          <w:sz w:val="32"/>
          <w:szCs w:val="32"/>
        </w:rPr>
        <w:t>МІНІСТЕРСТВО ОСВІТИ І НАУКИ УКРАЇНИ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5B2054">
        <w:rPr>
          <w:rFonts w:ascii="TimesNewRomanPSMT" w:hAnsi="TimesNewRomanPSMT" w:cs="TimesNewRomanPSMT"/>
          <w:sz w:val="32"/>
          <w:szCs w:val="32"/>
        </w:rPr>
        <w:t>ХАРКІВСЬКА ДЕРЖАВНА АКАДЕМІЯ ДИЗАЙНУ І МИСТЕЦТВ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36"/>
        </w:rPr>
      </w:pPr>
      <w:r w:rsidRPr="005B2054">
        <w:rPr>
          <w:rFonts w:ascii="Times New Roman" w:hAnsi="Times New Roman"/>
          <w:b/>
          <w:bCs/>
          <w:sz w:val="44"/>
          <w:szCs w:val="36"/>
        </w:rPr>
        <w:t>ТЕОРІЯ І ПРАКТИКА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36"/>
        </w:rPr>
      </w:pPr>
      <w:r w:rsidRPr="005B2054">
        <w:rPr>
          <w:rFonts w:ascii="Times New Roman" w:hAnsi="Times New Roman"/>
          <w:b/>
          <w:bCs/>
          <w:sz w:val="44"/>
          <w:szCs w:val="36"/>
        </w:rPr>
        <w:t>МАТЕРІАЛЬНО-ХУДОЖНЬОЇ КУЛЬТУРИ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62"/>
          <w:szCs w:val="52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62"/>
          <w:szCs w:val="52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62"/>
          <w:szCs w:val="52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62"/>
          <w:szCs w:val="52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0"/>
          <w:szCs w:val="52"/>
          <w:lang w:val="en-US"/>
        </w:rPr>
      </w:pPr>
      <w:r w:rsidRPr="005B2054">
        <w:rPr>
          <w:rFonts w:ascii="Times New Roman" w:hAnsi="Times New Roman"/>
          <w:b/>
          <w:bCs/>
          <w:sz w:val="96"/>
          <w:szCs w:val="52"/>
        </w:rPr>
        <w:t>№ 12</w:t>
      </w: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52"/>
          <w:szCs w:val="52"/>
          <w:lang w:val="en-US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52"/>
          <w:szCs w:val="52"/>
          <w:lang w:val="en-US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52"/>
          <w:szCs w:val="52"/>
          <w:lang w:val="en-US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52"/>
          <w:szCs w:val="52"/>
          <w:lang w:val="en-US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5B2054">
        <w:rPr>
          <w:rFonts w:ascii="TimesNewRomanPSMT" w:hAnsi="TimesNewRomanPSMT" w:cs="TimesNewRomanPSMT"/>
          <w:sz w:val="28"/>
          <w:szCs w:val="28"/>
        </w:rPr>
        <w:t>ХАРКIВ 2010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ББК 85я73 УДК 7.01.006.3(477.54)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Н34 Н34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-BoldMT" w:hAnsi="TimesNewRomanPS-BoldMT" w:cs="TimesNewRomanPS-BoldMT"/>
          <w:b/>
          <w:bCs/>
          <w:sz w:val="30"/>
          <w:szCs w:val="20"/>
        </w:rPr>
        <w:t xml:space="preserve">Теорія і практика матеріально-художньої культури. </w:t>
      </w:r>
      <w:r w:rsidRPr="005B2054">
        <w:rPr>
          <w:rFonts w:ascii="TimesNewRomanPSMT" w:hAnsi="TimesNewRomanPSMT" w:cs="TimesNewRomanPSMT"/>
          <w:sz w:val="30"/>
          <w:szCs w:val="20"/>
        </w:rPr>
        <w:t>XII електронна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наукова конференція. Харків, ХДАДМ, 21 грудня</w:t>
      </w:r>
      <w:r>
        <w:rPr>
          <w:rFonts w:ascii="TimesNewRomanPSMT" w:hAnsi="TimesNewRomanPSMT" w:cs="TimesNewRomanPSMT"/>
          <w:sz w:val="30"/>
          <w:szCs w:val="20"/>
        </w:rPr>
        <w:t xml:space="preserve"> 2010 р. / Збірка матеріалів. - </w:t>
      </w:r>
      <w:r w:rsidRPr="005B2054">
        <w:rPr>
          <w:rFonts w:ascii="TimesNewRomanPSMT" w:hAnsi="TimesNewRomanPSMT" w:cs="TimesNewRomanPSMT"/>
          <w:sz w:val="30"/>
          <w:szCs w:val="20"/>
        </w:rPr>
        <w:t>Харків: ХДАДМ, 2010. - 108 с.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(Укр., рос, анг. мов.)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 xml:space="preserve">    У збірнику представлено матеріали </w:t>
      </w:r>
      <w:r w:rsidRPr="005B2054">
        <w:rPr>
          <w:rFonts w:ascii="TimesNewRomanPSMT" w:hAnsi="TimesNewRomanPSMT" w:cs="TimesNewRomanPSMT"/>
          <w:sz w:val="30"/>
          <w:szCs w:val="20"/>
        </w:rPr>
        <w:t xml:space="preserve">XІІ </w:t>
      </w:r>
      <w:r w:rsidRPr="005B2054">
        <w:rPr>
          <w:rFonts w:ascii="TimesNewRomanPSMT" w:hAnsi="TimesNewRomanPSMT" w:cs="TimesNewRomanPSMT"/>
          <w:sz w:val="28"/>
          <w:szCs w:val="18"/>
        </w:rPr>
        <w:t>електронної наукової конференції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>професорсько-викладацького складу вищих навчальних закладів за спеціальностями мистецького напрямку.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 xml:space="preserve">    Тематика конференції: дизайн (графічний, комп’ютерний, архітектурний, </w:t>
      </w:r>
      <w:r w:rsidRPr="005B2054">
        <w:rPr>
          <w:rFonts w:ascii="TimesNewRomanPSMT" w:hAnsi="TimesNewRomanPSMT" w:cs="TimesNewRomanPSMT"/>
          <w:sz w:val="28"/>
          <w:szCs w:val="18"/>
          <w:lang w:val="en-US"/>
        </w:rPr>
        <w:t>web</w:t>
      </w:r>
      <w:r w:rsidRPr="005B2054">
        <w:rPr>
          <w:rFonts w:ascii="TimesNewRomanPSMT" w:hAnsi="TimesNewRomanPSMT" w:cs="TimesNewRomanPSMT"/>
          <w:sz w:val="28"/>
          <w:szCs w:val="18"/>
        </w:rPr>
        <w:t>, одягу, меблів, середовища, соціальний та інш.);</w:t>
      </w:r>
      <w:r w:rsidRPr="005B2054">
        <w:rPr>
          <w:rFonts w:ascii="SymbolMT" w:eastAsia="SymbolMT" w:hAnsi="TimesNewRomanPSMT" w:cs="SymbolMT" w:hint="eastAsia"/>
          <w:sz w:val="28"/>
          <w:szCs w:val="18"/>
        </w:rPr>
        <w:t></w:t>
      </w:r>
      <w:r w:rsidRPr="005B2054">
        <w:rPr>
          <w:rFonts w:ascii="TimesNewRomanPSMT" w:hAnsi="TimesNewRomanPSMT" w:cs="TimesNewRomanPSMT"/>
          <w:sz w:val="28"/>
          <w:szCs w:val="18"/>
        </w:rPr>
        <w:t>новітні технології в мистецтві та дизайні; технічна естетика, інженерно-технічне забезпечення діяльності дизайнерів і художників</w:t>
      </w:r>
      <w:r>
        <w:rPr>
          <w:rFonts w:ascii="TimesNewRomanPSMT" w:hAnsi="TimesNewRomanPSMT" w:cs="TimesNewRomanPSMT"/>
          <w:sz w:val="28"/>
          <w:szCs w:val="18"/>
        </w:rPr>
        <w:t>;</w:t>
      </w:r>
      <w:r w:rsidRPr="005B2054">
        <w:rPr>
          <w:rFonts w:ascii="TimesNewRomanPSMT" w:hAnsi="TimesNewRomanPSMT" w:cs="TimesNewRomanPSMT"/>
          <w:sz w:val="28"/>
          <w:szCs w:val="18"/>
        </w:rPr>
        <w:t xml:space="preserve"> історія та теорія мистецтва, рисунок, живопис, графіка; </w:t>
      </w:r>
      <w:r w:rsidRPr="005B2054">
        <w:rPr>
          <w:rFonts w:ascii="SymbolMT" w:eastAsia="SymbolMT" w:hAnsi="TimesNewRomanPSMT" w:cs="SymbolMT" w:hint="eastAsia"/>
          <w:sz w:val="28"/>
          <w:szCs w:val="18"/>
        </w:rPr>
        <w:t></w:t>
      </w:r>
      <w:r w:rsidRPr="005B2054">
        <w:rPr>
          <w:rFonts w:ascii="TimesNewRomanPSMT" w:hAnsi="TimesNewRomanPSMT" w:cs="TimesNewRomanPSMT"/>
          <w:sz w:val="28"/>
          <w:szCs w:val="18"/>
        </w:rPr>
        <w:t>монументальне, декоративно</w:t>
      </w:r>
      <w:r>
        <w:rPr>
          <w:rFonts w:ascii="TimesNewRomanPSMT" w:hAnsi="TimesNewRomanPSMT" w:cs="TimesNewRomanPSMT"/>
          <w:sz w:val="28"/>
          <w:szCs w:val="18"/>
        </w:rPr>
        <w:t>-</w:t>
      </w:r>
      <w:r w:rsidRPr="005B2054">
        <w:rPr>
          <w:rFonts w:ascii="TimesNewRomanPSMT" w:hAnsi="TimesNewRomanPSMT" w:cs="TimesNewRomanPSMT"/>
          <w:sz w:val="28"/>
          <w:szCs w:val="18"/>
        </w:rPr>
        <w:t>прикладне мистецтво, реставрація творів мистецтва, дизайнерська і мистецька освіта з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>викладанням предметів гуманітарного циклу.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 xml:space="preserve">    Збірник розрахований на пошукувачів вчених ступенів і звань, викладачів,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>науковців.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18"/>
        </w:rPr>
      </w:pPr>
      <w:r w:rsidRPr="005B2054">
        <w:rPr>
          <w:rFonts w:ascii="TimesNewRomanPSMT" w:hAnsi="TimesNewRomanPSMT" w:cs="TimesNewRomanPSMT"/>
          <w:sz w:val="28"/>
          <w:szCs w:val="18"/>
        </w:rPr>
        <w:t xml:space="preserve">    Матеріали конференції розміщено в електронному вигляді на сайті ХДАДМ</w:t>
      </w:r>
      <w:r>
        <w:rPr>
          <w:rFonts w:ascii="TimesNewRomanPSMT" w:hAnsi="TimesNewRomanPSMT" w:cs="TimesNewRomanPSMT"/>
          <w:sz w:val="28"/>
          <w:szCs w:val="18"/>
        </w:rPr>
        <w:t>:</w:t>
      </w:r>
      <w:r w:rsidRPr="005B2054">
        <w:rPr>
          <w:rFonts w:ascii="TimesNewRomanPSMT" w:hAnsi="TimesNewRomanPSMT" w:cs="TimesNewRomanPSMT"/>
          <w:sz w:val="28"/>
          <w:szCs w:val="18"/>
        </w:rPr>
        <w:t xml:space="preserve"> </w:t>
      </w:r>
      <w:r w:rsidRPr="005B2054">
        <w:rPr>
          <w:rFonts w:ascii="TimesNewRomanPS-BoldMT" w:hAnsi="TimesNewRomanPS-BoldMT" w:cs="TimesNewRomanPS-BoldMT"/>
          <w:b/>
          <w:bCs/>
          <w:sz w:val="28"/>
          <w:szCs w:val="18"/>
        </w:rPr>
        <w:t>www.ksada.org</w:t>
      </w:r>
      <w:r w:rsidRPr="005B2054">
        <w:rPr>
          <w:rFonts w:ascii="TimesNewRomanPSMT" w:hAnsi="TimesNewRomanPSMT" w:cs="TimesNewRomanPSMT"/>
          <w:sz w:val="28"/>
          <w:szCs w:val="18"/>
        </w:rPr>
        <w:t>. Пропозиції, відгуки і побажання можна надсилати за адресою</w:t>
      </w:r>
      <w:r>
        <w:rPr>
          <w:rFonts w:ascii="TimesNewRomanPSMT" w:hAnsi="TimesNewRomanPSMT" w:cs="TimesNewRomanPSMT"/>
          <w:sz w:val="28"/>
          <w:szCs w:val="18"/>
        </w:rPr>
        <w:t>:</w:t>
      </w:r>
      <w:r w:rsidRPr="005B2054">
        <w:rPr>
          <w:rFonts w:ascii="TimesNewRomanPSMT" w:hAnsi="TimesNewRomanPSMT" w:cs="TimesNewRomanPSMT"/>
          <w:sz w:val="28"/>
          <w:szCs w:val="18"/>
        </w:rPr>
        <w:t xml:space="preserve"> </w:t>
      </w:r>
      <w:r w:rsidRPr="005B2054">
        <w:rPr>
          <w:rFonts w:ascii="TimesNewRomanPS-BoldMT" w:hAnsi="TimesNewRomanPS-BoldMT" w:cs="TimesNewRomanPS-BoldMT"/>
          <w:b/>
          <w:bCs/>
          <w:sz w:val="28"/>
          <w:szCs w:val="18"/>
        </w:rPr>
        <w:t>disput@ksada.edu.ua</w:t>
      </w:r>
      <w:r w:rsidRPr="005B2054">
        <w:rPr>
          <w:rFonts w:ascii="TimesNewRomanPSMT" w:hAnsi="TimesNewRomanPSMT" w:cs="TimesNewRomanPSMT"/>
          <w:sz w:val="28"/>
          <w:szCs w:val="18"/>
        </w:rPr>
        <w:t>.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Редакційна колегія: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Даниленко В.Я. головний редактор, член-кореспондент Академії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Мистецтв України, доктор мистецтвознавства, професор;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Єрмаков С.С. доктор педагогічних наук, професор;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Мироненко В.П. доктор архітектури, професор;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Соколюк Л.Д. доктор мистецтвознавства, професор;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Бондаренко І.В. кандидат архітектури, доцент;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Котляр Є.О. кандидат мистецтвознавства, доцент;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Розенфельд М.І. кандидат архітектури, доцент;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20"/>
        </w:rPr>
      </w:pPr>
      <w:r w:rsidRPr="005B2054">
        <w:rPr>
          <w:rFonts w:ascii="TimesNewRomanPSMT" w:hAnsi="TimesNewRomanPSMT" w:cs="TimesNewRomanPSMT"/>
          <w:sz w:val="30"/>
          <w:szCs w:val="20"/>
        </w:rPr>
        <w:t>Турчин В.В. кандидат мистецтвознавства, доцент.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  <w:r w:rsidRPr="002D28D0">
        <w:rPr>
          <w:rFonts w:ascii="TimesNewRomanPSMT" w:hAnsi="TimesNewRomanPSMT" w:cs="TimesNewRomanPSMT"/>
          <w:sz w:val="26"/>
          <w:szCs w:val="16"/>
        </w:rPr>
        <w:t xml:space="preserve">       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16"/>
        </w:rPr>
      </w:pPr>
      <w:r w:rsidRPr="005B2054">
        <w:rPr>
          <w:rFonts w:ascii="TimesNewRomanPSMT" w:hAnsi="TimesNewRomanPSMT" w:cs="TimesNewRomanPSMT"/>
          <w:sz w:val="26"/>
          <w:szCs w:val="16"/>
        </w:rPr>
        <w:t xml:space="preserve">                                                                           © Харківська державна академія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48"/>
          <w:szCs w:val="28"/>
        </w:rPr>
      </w:pPr>
      <w:r w:rsidRPr="005B2054">
        <w:rPr>
          <w:rFonts w:ascii="TimesNewRomanPSMT" w:hAnsi="TimesNewRomanPSMT" w:cs="TimesNewRomanPSMT"/>
          <w:sz w:val="26"/>
          <w:szCs w:val="16"/>
        </w:rPr>
        <w:t xml:space="preserve">                                                                         </w:t>
      </w:r>
      <w:r w:rsidRPr="002D28D0">
        <w:rPr>
          <w:rFonts w:ascii="TimesNewRomanPSMT" w:hAnsi="TimesNewRomanPSMT" w:cs="TimesNewRomanPSMT"/>
          <w:sz w:val="26"/>
          <w:szCs w:val="16"/>
        </w:rPr>
        <w:t xml:space="preserve">             </w:t>
      </w:r>
      <w:r w:rsidRPr="005B2054">
        <w:rPr>
          <w:rFonts w:ascii="TimesNewRomanPSMT" w:hAnsi="TimesNewRomanPSMT" w:cs="TimesNewRomanPSMT"/>
          <w:sz w:val="26"/>
          <w:szCs w:val="16"/>
        </w:rPr>
        <w:t xml:space="preserve">  дизайну і мистецтв, 2010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B2054">
        <w:rPr>
          <w:rFonts w:ascii="Times New Roman" w:hAnsi="Times New Roman"/>
          <w:b/>
          <w:bCs/>
          <w:sz w:val="28"/>
          <w:szCs w:val="28"/>
        </w:rPr>
        <w:t xml:space="preserve">Паньок Т. В., </w:t>
      </w:r>
      <w:r w:rsidRPr="005B2054">
        <w:rPr>
          <w:rFonts w:ascii="Times New Roman" w:hAnsi="Times New Roman"/>
          <w:i/>
          <w:iCs/>
          <w:sz w:val="28"/>
          <w:szCs w:val="28"/>
        </w:rPr>
        <w:t>канд. мистецтвознавства, професор. каф. ОБМ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B2054">
        <w:rPr>
          <w:rFonts w:ascii="Times New Roman" w:hAnsi="Times New Roman"/>
          <w:b/>
          <w:bCs/>
          <w:sz w:val="28"/>
          <w:szCs w:val="28"/>
        </w:rPr>
        <w:t xml:space="preserve">Куцина С.А., </w:t>
      </w:r>
      <w:r>
        <w:rPr>
          <w:rFonts w:ascii="Times New Roman" w:hAnsi="Times New Roman"/>
          <w:i/>
          <w:iCs/>
          <w:sz w:val="28"/>
          <w:szCs w:val="28"/>
        </w:rPr>
        <w:t>магістр</w:t>
      </w:r>
      <w:r w:rsidRPr="005B2054">
        <w:rPr>
          <w:rFonts w:ascii="Times New Roman" w:hAnsi="Times New Roman"/>
          <w:i/>
          <w:iCs/>
          <w:sz w:val="28"/>
          <w:szCs w:val="28"/>
        </w:rPr>
        <w:t xml:space="preserve"> ХНПУ ім. Г. С. Сковороди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2054">
        <w:rPr>
          <w:rFonts w:ascii="Times New Roman" w:hAnsi="Times New Roman"/>
          <w:b/>
          <w:bCs/>
          <w:sz w:val="28"/>
          <w:szCs w:val="28"/>
        </w:rPr>
        <w:t>ІСТОРИЧНА ДИНАМІКА РОЗВИТКУ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2054">
        <w:rPr>
          <w:rFonts w:ascii="Times New Roman" w:hAnsi="Times New Roman"/>
          <w:b/>
          <w:bCs/>
          <w:sz w:val="28"/>
          <w:szCs w:val="28"/>
        </w:rPr>
        <w:t>ТРАДИЦІЙ РЕГІОНАЛЬНОГО ІКОНОПИСУ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У першій половині ХVІІ століття під час активного заселення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Слобожанщини, були створені сприятливі умо</w:t>
      </w:r>
      <w:r>
        <w:rPr>
          <w:rFonts w:ascii="Times New Roman" w:hAnsi="Times New Roman"/>
          <w:sz w:val="28"/>
          <w:szCs w:val="28"/>
        </w:rPr>
        <w:t>ви для мистецької творчості. Ця</w:t>
      </w:r>
      <w:r w:rsidRPr="005B2054">
        <w:rPr>
          <w:rFonts w:ascii="Times New Roman" w:hAnsi="Times New Roman"/>
          <w:sz w:val="28"/>
          <w:szCs w:val="28"/>
        </w:rPr>
        <w:t xml:space="preserve"> ситуація не тільки допомагала великому зростанню</w:t>
      </w:r>
      <w:r>
        <w:rPr>
          <w:rFonts w:ascii="Times New Roman" w:hAnsi="Times New Roman"/>
          <w:sz w:val="28"/>
          <w:szCs w:val="28"/>
        </w:rPr>
        <w:t xml:space="preserve"> кількості митців, а і вплинула</w:t>
      </w:r>
      <w:r w:rsidRPr="005B2054">
        <w:rPr>
          <w:rFonts w:ascii="Times New Roman" w:hAnsi="Times New Roman"/>
          <w:sz w:val="28"/>
          <w:szCs w:val="28"/>
        </w:rPr>
        <w:t xml:space="preserve"> на формотворчі ознаки, що панували в мистецт</w:t>
      </w:r>
      <w:r>
        <w:rPr>
          <w:rFonts w:ascii="Times New Roman" w:hAnsi="Times New Roman"/>
          <w:sz w:val="28"/>
          <w:szCs w:val="28"/>
        </w:rPr>
        <w:t>ві двох націй різної історичної</w:t>
      </w:r>
      <w:r w:rsidRPr="005B2054">
        <w:rPr>
          <w:rFonts w:ascii="Times New Roman" w:hAnsi="Times New Roman"/>
          <w:sz w:val="28"/>
          <w:szCs w:val="28"/>
        </w:rPr>
        <w:t xml:space="preserve">  долі — України та Москви. Характерним для Московського ур</w:t>
      </w:r>
      <w:r>
        <w:rPr>
          <w:rFonts w:ascii="Times New Roman" w:hAnsi="Times New Roman"/>
          <w:sz w:val="28"/>
          <w:szCs w:val="28"/>
        </w:rPr>
        <w:t>яду була політика</w:t>
      </w:r>
      <w:r w:rsidRPr="005B2054">
        <w:rPr>
          <w:rFonts w:ascii="Times New Roman" w:hAnsi="Times New Roman"/>
          <w:sz w:val="28"/>
          <w:szCs w:val="28"/>
        </w:rPr>
        <w:t xml:space="preserve"> втручання не тільки з боку політичного, релігійно</w:t>
      </w:r>
      <w:r>
        <w:rPr>
          <w:rFonts w:ascii="Times New Roman" w:hAnsi="Times New Roman"/>
          <w:sz w:val="28"/>
          <w:szCs w:val="28"/>
        </w:rPr>
        <w:t>го, а і культурно-художнього на</w:t>
      </w:r>
      <w:r w:rsidRPr="005B2054">
        <w:rPr>
          <w:rFonts w:ascii="Times New Roman" w:hAnsi="Times New Roman"/>
          <w:sz w:val="28"/>
          <w:szCs w:val="28"/>
        </w:rPr>
        <w:t xml:space="preserve"> наших землях. Відправляючи на слободи свої</w:t>
      </w:r>
      <w:r>
        <w:rPr>
          <w:rFonts w:ascii="Times New Roman" w:hAnsi="Times New Roman"/>
          <w:sz w:val="28"/>
          <w:szCs w:val="28"/>
        </w:rPr>
        <w:t>х воєвод, уряд споряджав їх так</w:t>
      </w:r>
      <w:r w:rsidRPr="005B2054">
        <w:rPr>
          <w:rFonts w:ascii="Times New Roman" w:hAnsi="Times New Roman"/>
          <w:sz w:val="28"/>
          <w:szCs w:val="28"/>
        </w:rPr>
        <w:t xml:space="preserve"> званими «строєльними наказами», де вказувалось,</w:t>
      </w:r>
      <w:r>
        <w:rPr>
          <w:rFonts w:ascii="Times New Roman" w:hAnsi="Times New Roman"/>
          <w:sz w:val="28"/>
          <w:szCs w:val="28"/>
        </w:rPr>
        <w:t xml:space="preserve"> в якому розмірі і що необхідно</w:t>
      </w:r>
      <w:r w:rsidRPr="005B2054">
        <w:rPr>
          <w:rFonts w:ascii="Times New Roman" w:hAnsi="Times New Roman"/>
          <w:sz w:val="28"/>
          <w:szCs w:val="28"/>
        </w:rPr>
        <w:t xml:space="preserve"> робити при облаштуванні нових міст, і зо</w:t>
      </w:r>
      <w:r>
        <w:rPr>
          <w:rFonts w:ascii="Times New Roman" w:hAnsi="Times New Roman"/>
          <w:sz w:val="28"/>
          <w:szCs w:val="28"/>
        </w:rPr>
        <w:t>бов’язувався постачати воєводам</w:t>
      </w:r>
      <w:r w:rsidRPr="005B2054">
        <w:rPr>
          <w:rFonts w:ascii="Times New Roman" w:hAnsi="Times New Roman"/>
          <w:sz w:val="28"/>
          <w:szCs w:val="28"/>
        </w:rPr>
        <w:t xml:space="preserve"> військові та фортечні припаси, а також необхі</w:t>
      </w:r>
      <w:r>
        <w:rPr>
          <w:rFonts w:ascii="Times New Roman" w:hAnsi="Times New Roman"/>
          <w:sz w:val="28"/>
          <w:szCs w:val="28"/>
        </w:rPr>
        <w:t>дні релігійно-богослужебні речі</w:t>
      </w:r>
      <w:r w:rsidRPr="005B2054">
        <w:rPr>
          <w:rFonts w:ascii="Times New Roman" w:hAnsi="Times New Roman"/>
          <w:sz w:val="28"/>
          <w:szCs w:val="28"/>
        </w:rPr>
        <w:t xml:space="preserve"> московської роботи для церков. [3, С. 86 – 87]. Вп</w:t>
      </w:r>
      <w:r>
        <w:rPr>
          <w:rFonts w:ascii="Times New Roman" w:hAnsi="Times New Roman"/>
          <w:sz w:val="28"/>
          <w:szCs w:val="28"/>
        </w:rPr>
        <w:t>лив московської школи іконопису</w:t>
      </w:r>
      <w:r w:rsidRPr="005B2054">
        <w:rPr>
          <w:rFonts w:ascii="Times New Roman" w:hAnsi="Times New Roman"/>
          <w:sz w:val="28"/>
          <w:szCs w:val="28"/>
        </w:rPr>
        <w:t xml:space="preserve"> на становлення слобожанської іконографії поч</w:t>
      </w:r>
      <w:r>
        <w:rPr>
          <w:rFonts w:ascii="Times New Roman" w:hAnsi="Times New Roman"/>
          <w:sz w:val="28"/>
          <w:szCs w:val="28"/>
        </w:rPr>
        <w:t>атку ХVІІ століття був вагомим,</w:t>
      </w:r>
      <w:r w:rsidRPr="005B2054">
        <w:rPr>
          <w:rFonts w:ascii="Times New Roman" w:hAnsi="Times New Roman"/>
          <w:sz w:val="28"/>
          <w:szCs w:val="28"/>
        </w:rPr>
        <w:t xml:space="preserve"> але під дією українського стихійного переселення релігійний живопис набув свого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особливого етнокультурного типу. Цей тип привніс в мистецтво нашого краю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живий струмінь і створив тим самим передумови для своєрі</w:t>
      </w:r>
      <w:r>
        <w:rPr>
          <w:rFonts w:ascii="Times New Roman" w:hAnsi="Times New Roman"/>
          <w:sz w:val="28"/>
          <w:szCs w:val="28"/>
        </w:rPr>
        <w:t>дного</w:t>
      </w:r>
      <w:r w:rsidRPr="005B2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іконописного</w:t>
      </w:r>
      <w:r w:rsidRPr="005B2054">
        <w:rPr>
          <w:rFonts w:ascii="Times New Roman" w:hAnsi="Times New Roman"/>
          <w:sz w:val="28"/>
          <w:szCs w:val="28"/>
        </w:rPr>
        <w:t xml:space="preserve"> стилю, який не міг би з’явитися на штучному ґр</w:t>
      </w:r>
      <w:r>
        <w:rPr>
          <w:rFonts w:ascii="Times New Roman" w:hAnsi="Times New Roman"/>
          <w:sz w:val="28"/>
          <w:szCs w:val="28"/>
        </w:rPr>
        <w:t>унті московської культури. Нове</w:t>
      </w:r>
      <w:r w:rsidRPr="005B2054">
        <w:rPr>
          <w:rFonts w:ascii="Times New Roman" w:hAnsi="Times New Roman"/>
          <w:sz w:val="28"/>
          <w:szCs w:val="28"/>
        </w:rPr>
        <w:t xml:space="preserve"> слобідське мистецтво відображувало новий світо</w:t>
      </w:r>
      <w:r>
        <w:rPr>
          <w:rFonts w:ascii="Times New Roman" w:hAnsi="Times New Roman"/>
          <w:sz w:val="28"/>
          <w:szCs w:val="28"/>
        </w:rPr>
        <w:t>гляд, принципово нове розуміння</w:t>
      </w:r>
      <w:r w:rsidRPr="005B2054">
        <w:rPr>
          <w:rFonts w:ascii="Times New Roman" w:hAnsi="Times New Roman"/>
          <w:sz w:val="28"/>
          <w:szCs w:val="28"/>
        </w:rPr>
        <w:t xml:space="preserve"> дійсності і нове ставлення до релігії. Стил</w:t>
      </w:r>
      <w:r>
        <w:rPr>
          <w:rFonts w:ascii="Times New Roman" w:hAnsi="Times New Roman"/>
          <w:sz w:val="28"/>
          <w:szCs w:val="28"/>
        </w:rPr>
        <w:t>істика слобожанського іконопису</w:t>
      </w:r>
      <w:r w:rsidRPr="005B2054">
        <w:rPr>
          <w:rFonts w:ascii="Times New Roman" w:hAnsi="Times New Roman"/>
          <w:sz w:val="28"/>
          <w:szCs w:val="28"/>
        </w:rPr>
        <w:t xml:space="preserve"> визначалася внутрішньою логікою розвитку худо</w:t>
      </w:r>
      <w:r>
        <w:rPr>
          <w:rFonts w:ascii="Times New Roman" w:hAnsi="Times New Roman"/>
          <w:sz w:val="28"/>
          <w:szCs w:val="28"/>
        </w:rPr>
        <w:t>жнього мислення, певних засобів</w:t>
      </w:r>
      <w:r w:rsidRPr="005B2054">
        <w:rPr>
          <w:rFonts w:ascii="Times New Roman" w:hAnsi="Times New Roman"/>
          <w:sz w:val="28"/>
          <w:szCs w:val="28"/>
        </w:rPr>
        <w:t xml:space="preserve"> бачення світу, усвідомлення властивостей прост</w:t>
      </w:r>
      <w:r>
        <w:rPr>
          <w:rFonts w:ascii="Times New Roman" w:hAnsi="Times New Roman"/>
          <w:sz w:val="28"/>
          <w:szCs w:val="28"/>
        </w:rPr>
        <w:t>ору та часу, в яких жив та діяв</w:t>
      </w:r>
      <w:r w:rsidRPr="005B2054">
        <w:rPr>
          <w:rFonts w:ascii="Times New Roman" w:hAnsi="Times New Roman"/>
          <w:sz w:val="28"/>
          <w:szCs w:val="28"/>
        </w:rPr>
        <w:t xml:space="preserve"> конкретний митець в даних історичних, географічних та соціальних умовах.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Стильові дефініції слобожанської ікони на певних історичних етапах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формувалися по - різному. Характерною рисою іконопису ХVІІ століття було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наслідування принципів ренесансного мистецтва</w:t>
      </w:r>
      <w:r>
        <w:rPr>
          <w:rFonts w:ascii="Times New Roman" w:hAnsi="Times New Roman"/>
          <w:sz w:val="28"/>
          <w:szCs w:val="28"/>
        </w:rPr>
        <w:t>, де на чільне місце висувалася</w:t>
      </w:r>
      <w:r w:rsidRPr="005B2054">
        <w:rPr>
          <w:rFonts w:ascii="Times New Roman" w:hAnsi="Times New Roman"/>
          <w:sz w:val="28"/>
          <w:szCs w:val="28"/>
        </w:rPr>
        <w:t xml:space="preserve"> ідея про матеріальний світ та віддзеркалення божественної творчої ідеї, к</w:t>
      </w:r>
      <w:r>
        <w:rPr>
          <w:rFonts w:ascii="Times New Roman" w:hAnsi="Times New Roman"/>
          <w:sz w:val="28"/>
          <w:szCs w:val="28"/>
        </w:rPr>
        <w:t>оли</w:t>
      </w:r>
      <w:r w:rsidRPr="005B2054">
        <w:rPr>
          <w:rFonts w:ascii="Times New Roman" w:hAnsi="Times New Roman"/>
          <w:sz w:val="28"/>
          <w:szCs w:val="28"/>
        </w:rPr>
        <w:t xml:space="preserve"> людина виступала творцем і спадкоємцем Бога.</w:t>
      </w:r>
      <w:r>
        <w:rPr>
          <w:rFonts w:ascii="Times New Roman" w:hAnsi="Times New Roman"/>
          <w:sz w:val="28"/>
          <w:szCs w:val="28"/>
        </w:rPr>
        <w:t xml:space="preserve"> Цей образ був сповнений добра,</w:t>
      </w:r>
      <w:r w:rsidRPr="005B2054">
        <w:rPr>
          <w:rFonts w:ascii="Times New Roman" w:hAnsi="Times New Roman"/>
          <w:sz w:val="28"/>
          <w:szCs w:val="28"/>
        </w:rPr>
        <w:t xml:space="preserve"> гуманізму, і відповідав духу відродження в</w:t>
      </w:r>
      <w:r>
        <w:rPr>
          <w:rFonts w:ascii="Times New Roman" w:hAnsi="Times New Roman"/>
          <w:sz w:val="28"/>
          <w:szCs w:val="28"/>
        </w:rPr>
        <w:t xml:space="preserve"> українській історії. Мистецтво</w:t>
      </w:r>
      <w:r w:rsidRPr="005B2054">
        <w:rPr>
          <w:rFonts w:ascii="Times New Roman" w:hAnsi="Times New Roman"/>
          <w:sz w:val="28"/>
          <w:szCs w:val="28"/>
        </w:rPr>
        <w:t xml:space="preserve"> ренесансу, а потім бароко в нашому краї, як і </w:t>
      </w:r>
      <w:r>
        <w:rPr>
          <w:rFonts w:ascii="Times New Roman" w:hAnsi="Times New Roman"/>
          <w:sz w:val="28"/>
          <w:szCs w:val="28"/>
        </w:rPr>
        <w:t>по всій території України, мало</w:t>
      </w:r>
      <w:r w:rsidRPr="005B2054">
        <w:rPr>
          <w:rFonts w:ascii="Times New Roman" w:hAnsi="Times New Roman"/>
          <w:sz w:val="28"/>
          <w:szCs w:val="28"/>
        </w:rPr>
        <w:t xml:space="preserve"> своє фольклорне забарвлення і не було пря</w:t>
      </w:r>
      <w:r>
        <w:rPr>
          <w:rFonts w:ascii="Times New Roman" w:hAnsi="Times New Roman"/>
          <w:sz w:val="28"/>
          <w:szCs w:val="28"/>
        </w:rPr>
        <w:t>мою копією західноєвропейського</w:t>
      </w:r>
      <w:r w:rsidRPr="005B2054">
        <w:rPr>
          <w:rFonts w:ascii="Times New Roman" w:hAnsi="Times New Roman"/>
          <w:sz w:val="28"/>
          <w:szCs w:val="28"/>
        </w:rPr>
        <w:t xml:space="preserve"> мистецтва, вміщувало у своїй основі ряд визначальних рис та форм.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Через збіг історичних обставин на початку ХVІІ століття на Слобожанщині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ікономалярство складалося за традиціями, притаманними мистецтву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Правобережної частині України. Цьому сприял</w:t>
      </w:r>
      <w:r>
        <w:rPr>
          <w:rFonts w:ascii="Times New Roman" w:hAnsi="Times New Roman"/>
          <w:sz w:val="28"/>
          <w:szCs w:val="28"/>
        </w:rPr>
        <w:t>а і міграція художників з інших</w:t>
      </w:r>
      <w:r w:rsidRPr="005B2054">
        <w:rPr>
          <w:rFonts w:ascii="Times New Roman" w:hAnsi="Times New Roman"/>
          <w:sz w:val="28"/>
          <w:szCs w:val="28"/>
        </w:rPr>
        <w:t xml:space="preserve"> областей України, схоже культурно-історич</w:t>
      </w:r>
      <w:r>
        <w:rPr>
          <w:rFonts w:ascii="Times New Roman" w:hAnsi="Times New Roman"/>
          <w:sz w:val="28"/>
          <w:szCs w:val="28"/>
        </w:rPr>
        <w:t>не середовище, отримання освіти</w:t>
      </w:r>
      <w:r w:rsidRPr="005B2054">
        <w:rPr>
          <w:rFonts w:ascii="Times New Roman" w:hAnsi="Times New Roman"/>
          <w:sz w:val="28"/>
          <w:szCs w:val="28"/>
        </w:rPr>
        <w:t xml:space="preserve"> іконописцями переважно у Києво–Печерській </w:t>
      </w:r>
      <w:r>
        <w:rPr>
          <w:rFonts w:ascii="Times New Roman" w:hAnsi="Times New Roman"/>
          <w:sz w:val="28"/>
          <w:szCs w:val="28"/>
        </w:rPr>
        <w:t>лаврі, розповсюдження кужбушок,</w:t>
      </w:r>
      <w:r w:rsidRPr="005B2054">
        <w:rPr>
          <w:rFonts w:ascii="Times New Roman" w:hAnsi="Times New Roman"/>
          <w:sz w:val="28"/>
          <w:szCs w:val="28"/>
        </w:rPr>
        <w:t xml:space="preserve"> передруків київських гравюр, а також ті стильові зрушення, що з’явилися в </w:t>
      </w:r>
      <w:r>
        <w:rPr>
          <w:rFonts w:ascii="Times New Roman" w:hAnsi="Times New Roman"/>
          <w:sz w:val="28"/>
          <w:szCs w:val="28"/>
        </w:rPr>
        <w:t>цей</w:t>
      </w:r>
      <w:r w:rsidRPr="005B2054">
        <w:rPr>
          <w:rFonts w:ascii="Times New Roman" w:hAnsi="Times New Roman"/>
          <w:sz w:val="28"/>
          <w:szCs w:val="28"/>
        </w:rPr>
        <w:t xml:space="preserve"> час у мистецтві київських іконописців та вплинули на подальший розвиток й спрямували увесь потік українського релігійн</w:t>
      </w:r>
      <w:r>
        <w:rPr>
          <w:rFonts w:ascii="Times New Roman" w:hAnsi="Times New Roman"/>
          <w:sz w:val="28"/>
          <w:szCs w:val="28"/>
        </w:rPr>
        <w:t>ого мистецтва близьких до Києва</w:t>
      </w:r>
      <w:r w:rsidRPr="005B2054">
        <w:rPr>
          <w:rFonts w:ascii="Times New Roman" w:hAnsi="Times New Roman"/>
          <w:sz w:val="28"/>
          <w:szCs w:val="28"/>
        </w:rPr>
        <w:t xml:space="preserve"> земель. Художні напрямки слобожанських майстрів часом співпадали</w:t>
      </w:r>
      <w:r>
        <w:rPr>
          <w:rFonts w:ascii="Times New Roman" w:hAnsi="Times New Roman"/>
          <w:sz w:val="28"/>
          <w:szCs w:val="28"/>
        </w:rPr>
        <w:t xml:space="preserve"> зі</w:t>
      </w:r>
      <w:r w:rsidRPr="005B2054">
        <w:rPr>
          <w:rFonts w:ascii="Times New Roman" w:hAnsi="Times New Roman"/>
          <w:sz w:val="28"/>
          <w:szCs w:val="28"/>
        </w:rPr>
        <w:t xml:space="preserve"> стильовими рисами іконопису сусідніх регіонів. </w:t>
      </w:r>
      <w:r>
        <w:rPr>
          <w:rFonts w:ascii="Times New Roman" w:hAnsi="Times New Roman"/>
          <w:sz w:val="28"/>
          <w:szCs w:val="28"/>
        </w:rPr>
        <w:t>Поступово в мистецтві іконопису</w:t>
      </w:r>
      <w:r w:rsidRPr="005B2054">
        <w:rPr>
          <w:rFonts w:ascii="Times New Roman" w:hAnsi="Times New Roman"/>
          <w:sz w:val="28"/>
          <w:szCs w:val="28"/>
        </w:rPr>
        <w:t xml:space="preserve"> втрачають актуальність такі риси, як симет</w:t>
      </w:r>
      <w:r>
        <w:rPr>
          <w:rFonts w:ascii="Times New Roman" w:hAnsi="Times New Roman"/>
          <w:sz w:val="28"/>
          <w:szCs w:val="28"/>
        </w:rPr>
        <w:t>ричність композиції, хроматична</w:t>
      </w:r>
      <w:r w:rsidRPr="005B2054">
        <w:rPr>
          <w:rFonts w:ascii="Times New Roman" w:hAnsi="Times New Roman"/>
          <w:sz w:val="28"/>
          <w:szCs w:val="28"/>
        </w:rPr>
        <w:t xml:space="preserve"> гармонія цілого, ренесансні орнаменти, мало</w:t>
      </w:r>
      <w:r>
        <w:rPr>
          <w:rFonts w:ascii="Times New Roman" w:hAnsi="Times New Roman"/>
          <w:sz w:val="28"/>
          <w:szCs w:val="28"/>
        </w:rPr>
        <w:t>фігурні композиції, площинність</w:t>
      </w:r>
      <w:r w:rsidRPr="005B2054">
        <w:rPr>
          <w:rFonts w:ascii="Times New Roman" w:hAnsi="Times New Roman"/>
          <w:sz w:val="28"/>
          <w:szCs w:val="28"/>
        </w:rPr>
        <w:t xml:space="preserve"> зображення. Натомість впродовж 30—50 років ХVІ</w:t>
      </w:r>
      <w:r>
        <w:rPr>
          <w:rFonts w:ascii="Times New Roman" w:hAnsi="Times New Roman"/>
          <w:sz w:val="28"/>
          <w:szCs w:val="28"/>
        </w:rPr>
        <w:t>І століття слідом за київськими</w:t>
      </w:r>
      <w:r w:rsidRPr="005B2054">
        <w:rPr>
          <w:rFonts w:ascii="Times New Roman" w:hAnsi="Times New Roman"/>
          <w:sz w:val="28"/>
          <w:szCs w:val="28"/>
        </w:rPr>
        <w:t xml:space="preserve"> гравюрами в слобожанському іконописі спост</w:t>
      </w:r>
      <w:r>
        <w:rPr>
          <w:rFonts w:ascii="Times New Roman" w:hAnsi="Times New Roman"/>
          <w:sz w:val="28"/>
          <w:szCs w:val="28"/>
        </w:rPr>
        <w:t>ерігається збільшення барокових</w:t>
      </w:r>
      <w:r w:rsidRPr="005B2054">
        <w:rPr>
          <w:rFonts w:ascii="Times New Roman" w:hAnsi="Times New Roman"/>
          <w:sz w:val="28"/>
          <w:szCs w:val="28"/>
        </w:rPr>
        <w:t xml:space="preserve"> ознак. Митцями вирішуються проблеми напруженості та масивності іконної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площини, порушуються пропорції в композиції, з’являється </w:t>
      </w:r>
      <w:r>
        <w:rPr>
          <w:rFonts w:ascii="Times New Roman" w:hAnsi="Times New Roman"/>
          <w:sz w:val="28"/>
          <w:szCs w:val="28"/>
        </w:rPr>
        <w:t>нова</w:t>
      </w:r>
      <w:r w:rsidRPr="005B2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декоративність,</w:t>
      </w:r>
      <w:r w:rsidRPr="005B2054">
        <w:rPr>
          <w:rFonts w:ascii="Times New Roman" w:hAnsi="Times New Roman"/>
          <w:sz w:val="28"/>
          <w:szCs w:val="28"/>
        </w:rPr>
        <w:t xml:space="preserve"> різноманітність рухів, жестів та ракурсів, відкр</w:t>
      </w:r>
      <w:r>
        <w:rPr>
          <w:rFonts w:ascii="Times New Roman" w:hAnsi="Times New Roman"/>
          <w:sz w:val="28"/>
          <w:szCs w:val="28"/>
        </w:rPr>
        <w:t>ита спонтанна неупередженість у</w:t>
      </w:r>
      <w:r w:rsidRPr="005B2054">
        <w:rPr>
          <w:rFonts w:ascii="Times New Roman" w:hAnsi="Times New Roman"/>
          <w:sz w:val="28"/>
          <w:szCs w:val="28"/>
        </w:rPr>
        <w:t xml:space="preserve"> трактуванні образів. Ікони збагачуються ви</w:t>
      </w:r>
      <w:r>
        <w:rPr>
          <w:rFonts w:ascii="Times New Roman" w:hAnsi="Times New Roman"/>
          <w:sz w:val="28"/>
          <w:szCs w:val="28"/>
        </w:rPr>
        <w:t>разною ритмікою. Разом з тим їм</w:t>
      </w:r>
      <w:r w:rsidRPr="005B2054">
        <w:rPr>
          <w:rFonts w:ascii="Times New Roman" w:hAnsi="Times New Roman"/>
          <w:sz w:val="28"/>
          <w:szCs w:val="28"/>
        </w:rPr>
        <w:t xml:space="preserve"> притаманні підвищена емоційність образів, схильні</w:t>
      </w:r>
      <w:r>
        <w:rPr>
          <w:rFonts w:ascii="Times New Roman" w:hAnsi="Times New Roman"/>
          <w:sz w:val="28"/>
          <w:szCs w:val="28"/>
        </w:rPr>
        <w:t>сть до урочистості, декоративна</w:t>
      </w:r>
      <w:r w:rsidRPr="005B2054">
        <w:rPr>
          <w:rFonts w:ascii="Times New Roman" w:hAnsi="Times New Roman"/>
          <w:sz w:val="28"/>
          <w:szCs w:val="28"/>
        </w:rPr>
        <w:t xml:space="preserve"> пишність, багаті орнаментальні форми, динамічні</w:t>
      </w:r>
      <w:r>
        <w:rPr>
          <w:rFonts w:ascii="Times New Roman" w:hAnsi="Times New Roman"/>
          <w:sz w:val="28"/>
          <w:szCs w:val="28"/>
        </w:rPr>
        <w:t>сть композицій, різкі контрасти</w:t>
      </w:r>
      <w:r w:rsidRPr="005B2054">
        <w:rPr>
          <w:rFonts w:ascii="Times New Roman" w:hAnsi="Times New Roman"/>
          <w:sz w:val="28"/>
          <w:szCs w:val="28"/>
        </w:rPr>
        <w:t xml:space="preserve"> масштабів і ритмів, матеріалів, фактур, кольорів, с</w:t>
      </w:r>
      <w:r>
        <w:rPr>
          <w:rFonts w:ascii="Times New Roman" w:hAnsi="Times New Roman"/>
          <w:sz w:val="28"/>
          <w:szCs w:val="28"/>
        </w:rPr>
        <w:t>вітла і тіні. Основою мистецтва</w:t>
      </w:r>
      <w:r w:rsidRPr="005B2054">
        <w:rPr>
          <w:rFonts w:ascii="Times New Roman" w:hAnsi="Times New Roman"/>
          <w:sz w:val="28"/>
          <w:szCs w:val="28"/>
        </w:rPr>
        <w:t xml:space="preserve"> бароко стало нове порівняно з попереднь</w:t>
      </w:r>
      <w:r>
        <w:rPr>
          <w:rFonts w:ascii="Times New Roman" w:hAnsi="Times New Roman"/>
          <w:sz w:val="28"/>
          <w:szCs w:val="28"/>
        </w:rPr>
        <w:t>ою епохою Ренесансу філософське</w:t>
      </w:r>
      <w:r w:rsidRPr="005B2054">
        <w:rPr>
          <w:rFonts w:ascii="Times New Roman" w:hAnsi="Times New Roman"/>
          <w:sz w:val="28"/>
          <w:szCs w:val="28"/>
        </w:rPr>
        <w:t xml:space="preserve"> ставлення до багатогранного і часом др</w:t>
      </w:r>
      <w:r>
        <w:rPr>
          <w:rFonts w:ascii="Times New Roman" w:hAnsi="Times New Roman"/>
          <w:sz w:val="28"/>
          <w:szCs w:val="28"/>
        </w:rPr>
        <w:t>аматичного світу, де поєдналися</w:t>
      </w:r>
      <w:r w:rsidRPr="005B2054">
        <w:rPr>
          <w:rFonts w:ascii="Times New Roman" w:hAnsi="Times New Roman"/>
          <w:sz w:val="28"/>
          <w:szCs w:val="28"/>
        </w:rPr>
        <w:t xml:space="preserve"> прагнення до правдивого зображення дійсно</w:t>
      </w:r>
      <w:r>
        <w:rPr>
          <w:rFonts w:ascii="Times New Roman" w:hAnsi="Times New Roman"/>
          <w:sz w:val="28"/>
          <w:szCs w:val="28"/>
        </w:rPr>
        <w:t>сті і одночасно до ілюзорності,</w:t>
      </w:r>
      <w:r w:rsidRPr="005B2054">
        <w:rPr>
          <w:rFonts w:ascii="Times New Roman" w:hAnsi="Times New Roman"/>
          <w:sz w:val="28"/>
          <w:szCs w:val="28"/>
        </w:rPr>
        <w:t xml:space="preserve"> фантастичності.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У розвитку слобожанського іконопису спостерігаємо відповідний до нових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естетичних ідей прихід нових художніх форм. Стиль </w:t>
      </w:r>
      <w:r>
        <w:rPr>
          <w:rFonts w:ascii="Times New Roman" w:hAnsi="Times New Roman"/>
          <w:sz w:val="28"/>
          <w:szCs w:val="28"/>
        </w:rPr>
        <w:t>та художні засоби в релігійному</w:t>
      </w:r>
      <w:r w:rsidRPr="005B2054">
        <w:rPr>
          <w:rFonts w:ascii="Times New Roman" w:hAnsi="Times New Roman"/>
          <w:sz w:val="28"/>
          <w:szCs w:val="28"/>
        </w:rPr>
        <w:t xml:space="preserve"> мистецтві змінюються, завдяки чому в іконо</w:t>
      </w:r>
      <w:r>
        <w:rPr>
          <w:rFonts w:ascii="Times New Roman" w:hAnsi="Times New Roman"/>
          <w:sz w:val="28"/>
          <w:szCs w:val="28"/>
        </w:rPr>
        <w:t>писі поступово зникає зумовлена</w:t>
      </w:r>
      <w:r w:rsidRPr="005B2054">
        <w:rPr>
          <w:rFonts w:ascii="Times New Roman" w:hAnsi="Times New Roman"/>
          <w:sz w:val="28"/>
          <w:szCs w:val="28"/>
        </w:rPr>
        <w:t xml:space="preserve"> релігійно-канонічними вимогами урочи</w:t>
      </w:r>
      <w:r>
        <w:rPr>
          <w:rFonts w:ascii="Times New Roman" w:hAnsi="Times New Roman"/>
          <w:sz w:val="28"/>
          <w:szCs w:val="28"/>
        </w:rPr>
        <w:t>ста застиглість і абстрактність</w:t>
      </w:r>
      <w:r w:rsidRPr="005B2054">
        <w:rPr>
          <w:rFonts w:ascii="Times New Roman" w:hAnsi="Times New Roman"/>
          <w:sz w:val="28"/>
          <w:szCs w:val="28"/>
        </w:rPr>
        <w:t xml:space="preserve"> зображуваних постатей, характерних головним</w:t>
      </w:r>
      <w:r>
        <w:rPr>
          <w:rFonts w:ascii="Times New Roman" w:hAnsi="Times New Roman"/>
          <w:sz w:val="28"/>
          <w:szCs w:val="28"/>
        </w:rPr>
        <w:t xml:space="preserve"> чином для мистецтва попередніх</w:t>
      </w:r>
      <w:r w:rsidRPr="005B2054">
        <w:rPr>
          <w:rFonts w:ascii="Times New Roman" w:hAnsi="Times New Roman"/>
          <w:sz w:val="28"/>
          <w:szCs w:val="28"/>
        </w:rPr>
        <w:t xml:space="preserve"> століть, а натомість з’являються світськість</w:t>
      </w:r>
      <w:r>
        <w:rPr>
          <w:rFonts w:ascii="Times New Roman" w:hAnsi="Times New Roman"/>
          <w:sz w:val="28"/>
          <w:szCs w:val="28"/>
        </w:rPr>
        <w:t xml:space="preserve"> зображення. Якщо подивитися на</w:t>
      </w:r>
      <w:r w:rsidRPr="005B2054">
        <w:rPr>
          <w:rFonts w:ascii="Times New Roman" w:hAnsi="Times New Roman"/>
          <w:sz w:val="28"/>
          <w:szCs w:val="28"/>
        </w:rPr>
        <w:t xml:space="preserve"> шлях, пройдений за півтора століття сло</w:t>
      </w:r>
      <w:r>
        <w:rPr>
          <w:rFonts w:ascii="Times New Roman" w:hAnsi="Times New Roman"/>
          <w:sz w:val="28"/>
          <w:szCs w:val="28"/>
        </w:rPr>
        <w:t>божанськими іконописцями, можна</w:t>
      </w:r>
      <w:r w:rsidRPr="005B2054">
        <w:rPr>
          <w:rFonts w:ascii="Times New Roman" w:hAnsi="Times New Roman"/>
          <w:sz w:val="28"/>
          <w:szCs w:val="28"/>
        </w:rPr>
        <w:t xml:space="preserve"> сказати, що його глибока регіональна специфічн</w:t>
      </w:r>
      <w:r>
        <w:rPr>
          <w:rFonts w:ascii="Times New Roman" w:hAnsi="Times New Roman"/>
          <w:sz w:val="28"/>
          <w:szCs w:val="28"/>
        </w:rPr>
        <w:t>ість була органічним вираженням</w:t>
      </w:r>
      <w:r w:rsidRPr="005B2054">
        <w:rPr>
          <w:rFonts w:ascii="Times New Roman" w:hAnsi="Times New Roman"/>
          <w:sz w:val="28"/>
          <w:szCs w:val="28"/>
        </w:rPr>
        <w:t xml:space="preserve"> усієї української культури тієї епохи.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З другої половини ХVІІІ століття в бароко впл</w:t>
      </w:r>
      <w:r>
        <w:rPr>
          <w:rFonts w:ascii="Times New Roman" w:hAnsi="Times New Roman"/>
          <w:sz w:val="28"/>
          <w:szCs w:val="28"/>
        </w:rPr>
        <w:t>ітаються елементи інших стилів,</w:t>
      </w:r>
      <w:r w:rsidRPr="005B2054">
        <w:rPr>
          <w:rFonts w:ascii="Times New Roman" w:hAnsi="Times New Roman"/>
          <w:sz w:val="28"/>
          <w:szCs w:val="28"/>
        </w:rPr>
        <w:t xml:space="preserve"> що услід за новою модою розповсюджуються </w:t>
      </w:r>
      <w:r>
        <w:rPr>
          <w:rFonts w:ascii="Times New Roman" w:hAnsi="Times New Roman"/>
          <w:sz w:val="28"/>
          <w:szCs w:val="28"/>
        </w:rPr>
        <w:t>в церквах України, а також і на</w:t>
      </w:r>
      <w:r w:rsidRPr="005B2054">
        <w:rPr>
          <w:rFonts w:ascii="Times New Roman" w:hAnsi="Times New Roman"/>
          <w:sz w:val="28"/>
          <w:szCs w:val="28"/>
        </w:rPr>
        <w:t xml:space="preserve"> Слобожанщині — класицизм та романтизм. М</w:t>
      </w:r>
      <w:r>
        <w:rPr>
          <w:rFonts w:ascii="Times New Roman" w:hAnsi="Times New Roman"/>
          <w:sz w:val="28"/>
          <w:szCs w:val="28"/>
        </w:rPr>
        <w:t>истецтво бароко почало втрачати</w:t>
      </w:r>
      <w:r w:rsidRPr="005B2054">
        <w:rPr>
          <w:rFonts w:ascii="Times New Roman" w:hAnsi="Times New Roman"/>
          <w:sz w:val="28"/>
          <w:szCs w:val="28"/>
        </w:rPr>
        <w:t xml:space="preserve"> свої позиції, як і мистецтво Ренесансу, пер</w:t>
      </w:r>
      <w:r>
        <w:rPr>
          <w:rFonts w:ascii="Times New Roman" w:hAnsi="Times New Roman"/>
          <w:sz w:val="28"/>
          <w:szCs w:val="28"/>
        </w:rPr>
        <w:t>еходячи поступово до наступного</w:t>
      </w:r>
      <w:r w:rsidRPr="005B2054">
        <w:rPr>
          <w:rFonts w:ascii="Times New Roman" w:hAnsi="Times New Roman"/>
          <w:sz w:val="28"/>
          <w:szCs w:val="28"/>
        </w:rPr>
        <w:t xml:space="preserve"> мистецького стилю.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На зламі ХVІІІ — ХІХ с</w:t>
      </w:r>
      <w:r>
        <w:rPr>
          <w:rFonts w:ascii="Times New Roman" w:hAnsi="Times New Roman"/>
          <w:sz w:val="28"/>
          <w:szCs w:val="28"/>
        </w:rPr>
        <w:t>толіття на Слобожанщині активно</w:t>
      </w:r>
      <w:r w:rsidRPr="005B2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розповсюджується</w:t>
      </w:r>
      <w:r w:rsidRPr="005B2054">
        <w:rPr>
          <w:rFonts w:ascii="Times New Roman" w:hAnsi="Times New Roman"/>
          <w:sz w:val="28"/>
          <w:szCs w:val="28"/>
        </w:rPr>
        <w:t xml:space="preserve"> стиль класицизму та інколи риси романти</w:t>
      </w:r>
      <w:r>
        <w:rPr>
          <w:rFonts w:ascii="Times New Roman" w:hAnsi="Times New Roman"/>
          <w:sz w:val="28"/>
          <w:szCs w:val="28"/>
        </w:rPr>
        <w:t>зму. Останній сприяв збереженню</w:t>
      </w:r>
      <w:r w:rsidRPr="005B2054">
        <w:rPr>
          <w:rFonts w:ascii="Times New Roman" w:hAnsi="Times New Roman"/>
          <w:sz w:val="28"/>
          <w:szCs w:val="28"/>
        </w:rPr>
        <w:t xml:space="preserve"> усталених рис бароко у нашому іконописі, залишивши о</w:t>
      </w:r>
      <w:r>
        <w:rPr>
          <w:rFonts w:ascii="Times New Roman" w:hAnsi="Times New Roman"/>
          <w:sz w:val="28"/>
          <w:szCs w:val="28"/>
        </w:rPr>
        <w:t>духотвореність, трохи</w:t>
      </w:r>
      <w:r w:rsidRPr="005B2054">
        <w:rPr>
          <w:rFonts w:ascii="Times New Roman" w:hAnsi="Times New Roman"/>
          <w:sz w:val="28"/>
          <w:szCs w:val="28"/>
        </w:rPr>
        <w:t xml:space="preserve"> посиливши передачу експресивності: ру</w:t>
      </w:r>
      <w:r>
        <w:rPr>
          <w:rFonts w:ascii="Times New Roman" w:hAnsi="Times New Roman"/>
          <w:sz w:val="28"/>
          <w:szCs w:val="28"/>
        </w:rPr>
        <w:t>шійними силами цього стилю було</w:t>
      </w:r>
      <w:r w:rsidRPr="005B2054">
        <w:rPr>
          <w:rFonts w:ascii="Times New Roman" w:hAnsi="Times New Roman"/>
          <w:sz w:val="28"/>
          <w:szCs w:val="28"/>
        </w:rPr>
        <w:t xml:space="preserve"> захоплення філософією природи, оспівування зем</w:t>
      </w:r>
      <w:r>
        <w:rPr>
          <w:rFonts w:ascii="Times New Roman" w:hAnsi="Times New Roman"/>
          <w:sz w:val="28"/>
          <w:szCs w:val="28"/>
        </w:rPr>
        <w:t>ної краси, передача чуттєвості.</w:t>
      </w:r>
      <w:r w:rsidRPr="005B2054">
        <w:rPr>
          <w:rFonts w:ascii="Times New Roman" w:hAnsi="Times New Roman"/>
          <w:sz w:val="28"/>
          <w:szCs w:val="28"/>
        </w:rPr>
        <w:t xml:space="preserve"> Психологічний характер образу став переда</w:t>
      </w:r>
      <w:r>
        <w:rPr>
          <w:rFonts w:ascii="Times New Roman" w:hAnsi="Times New Roman"/>
          <w:sz w:val="28"/>
          <w:szCs w:val="28"/>
        </w:rPr>
        <w:t>ватися іншими засобами: замість</w:t>
      </w:r>
      <w:r w:rsidRPr="005B2054">
        <w:rPr>
          <w:rFonts w:ascii="Times New Roman" w:hAnsi="Times New Roman"/>
          <w:sz w:val="28"/>
          <w:szCs w:val="28"/>
        </w:rPr>
        <w:t xml:space="preserve"> драматизму та пафосу, що зустрічалося в попередн</w:t>
      </w:r>
      <w:r>
        <w:rPr>
          <w:rFonts w:ascii="Times New Roman" w:hAnsi="Times New Roman"/>
          <w:sz w:val="28"/>
          <w:szCs w:val="28"/>
        </w:rPr>
        <w:t>іх стилях, відтворювали ліричні</w:t>
      </w:r>
      <w:r w:rsidRPr="005B2054">
        <w:rPr>
          <w:rFonts w:ascii="Times New Roman" w:hAnsi="Times New Roman"/>
          <w:sz w:val="28"/>
          <w:szCs w:val="28"/>
        </w:rPr>
        <w:t xml:space="preserve"> почуття, мрійливість, лагідність. Проте значення руху в іконі, напруженість дії,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контрасти залишилися.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 xml:space="preserve">   В період розповсюдження класицизму в слобожанському іконописі стали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зникати природні, фольклорні течії. За зразки все</w:t>
      </w:r>
      <w:r>
        <w:rPr>
          <w:rFonts w:ascii="Times New Roman" w:hAnsi="Times New Roman"/>
          <w:sz w:val="28"/>
          <w:szCs w:val="28"/>
        </w:rPr>
        <w:t xml:space="preserve"> частіше бралися твори класиків</w:t>
      </w:r>
      <w:r w:rsidRPr="005B2054">
        <w:rPr>
          <w:rFonts w:ascii="Times New Roman" w:hAnsi="Times New Roman"/>
          <w:sz w:val="28"/>
          <w:szCs w:val="28"/>
        </w:rPr>
        <w:t xml:space="preserve"> античності та мистецтва Італії, що домінували у </w:t>
      </w:r>
      <w:r>
        <w:rPr>
          <w:rFonts w:ascii="Times New Roman" w:hAnsi="Times New Roman"/>
          <w:sz w:val="28"/>
          <w:szCs w:val="28"/>
        </w:rPr>
        <w:t>колах випускників Петербурзької</w:t>
      </w:r>
      <w:r w:rsidRPr="005B2054">
        <w:rPr>
          <w:rFonts w:ascii="Times New Roman" w:hAnsi="Times New Roman"/>
          <w:sz w:val="28"/>
          <w:szCs w:val="28"/>
        </w:rPr>
        <w:t xml:space="preserve"> Академії мистецтв. Церковне малярство в руках х</w:t>
      </w:r>
      <w:r>
        <w:rPr>
          <w:rFonts w:ascii="Times New Roman" w:hAnsi="Times New Roman"/>
          <w:sz w:val="28"/>
          <w:szCs w:val="28"/>
        </w:rPr>
        <w:t>удожників – класицистів втрачає</w:t>
      </w:r>
      <w:r w:rsidRPr="005B2054">
        <w:rPr>
          <w:rFonts w:ascii="Times New Roman" w:hAnsi="Times New Roman"/>
          <w:sz w:val="28"/>
          <w:szCs w:val="28"/>
        </w:rPr>
        <w:t xml:space="preserve"> специфічність своєї художньої мови. На межі ХV</w:t>
      </w:r>
      <w:r>
        <w:rPr>
          <w:rFonts w:ascii="Times New Roman" w:hAnsi="Times New Roman"/>
          <w:sz w:val="28"/>
          <w:szCs w:val="28"/>
        </w:rPr>
        <w:t>ІІІ—ХІХ століть відбулося різке</w:t>
      </w:r>
      <w:r w:rsidRPr="005B2054">
        <w:rPr>
          <w:rFonts w:ascii="Times New Roman" w:hAnsi="Times New Roman"/>
          <w:sz w:val="28"/>
          <w:szCs w:val="28"/>
        </w:rPr>
        <w:t xml:space="preserve"> розмежування між світським та релігійни</w:t>
      </w:r>
      <w:r>
        <w:rPr>
          <w:rFonts w:ascii="Times New Roman" w:hAnsi="Times New Roman"/>
          <w:sz w:val="28"/>
          <w:szCs w:val="28"/>
        </w:rPr>
        <w:t>м мистецтвом, іконопис опинився</w:t>
      </w:r>
      <w:r w:rsidRPr="005B2054">
        <w:rPr>
          <w:rFonts w:ascii="Times New Roman" w:hAnsi="Times New Roman"/>
          <w:sz w:val="28"/>
          <w:szCs w:val="28"/>
        </w:rPr>
        <w:t xml:space="preserve"> витісненим на «периферію мистецького процесу» </w:t>
      </w:r>
      <w:r>
        <w:rPr>
          <w:rFonts w:ascii="Times New Roman" w:hAnsi="Times New Roman"/>
          <w:sz w:val="28"/>
          <w:szCs w:val="28"/>
        </w:rPr>
        <w:t>[1, С. 86]. Перед Петербурзькою</w:t>
      </w:r>
      <w:r w:rsidRPr="005B2054">
        <w:rPr>
          <w:rFonts w:ascii="Times New Roman" w:hAnsi="Times New Roman"/>
          <w:sz w:val="28"/>
          <w:szCs w:val="28"/>
        </w:rPr>
        <w:t xml:space="preserve"> Академією мистецтв було поставлено завдання опрацювати нові т</w:t>
      </w:r>
      <w:r>
        <w:rPr>
          <w:rFonts w:ascii="Times New Roman" w:hAnsi="Times New Roman"/>
          <w:sz w:val="28"/>
          <w:szCs w:val="28"/>
        </w:rPr>
        <w:t>ипи та еталони</w:t>
      </w:r>
      <w:r w:rsidRPr="005B2054">
        <w:rPr>
          <w:rFonts w:ascii="Times New Roman" w:hAnsi="Times New Roman"/>
          <w:sz w:val="28"/>
          <w:szCs w:val="28"/>
        </w:rPr>
        <w:t xml:space="preserve"> для іконографії, без огляду на місцеві чи фоль</w:t>
      </w:r>
      <w:r>
        <w:rPr>
          <w:rFonts w:ascii="Times New Roman" w:hAnsi="Times New Roman"/>
          <w:sz w:val="28"/>
          <w:szCs w:val="28"/>
        </w:rPr>
        <w:t>клорні традиції для всіх церков</w:t>
      </w:r>
      <w:r w:rsidRPr="005B2054">
        <w:rPr>
          <w:rFonts w:ascii="Times New Roman" w:hAnsi="Times New Roman"/>
          <w:sz w:val="28"/>
          <w:szCs w:val="28"/>
        </w:rPr>
        <w:t xml:space="preserve"> Російської імперії. Були запропоновані нові </w:t>
      </w:r>
      <w:r>
        <w:rPr>
          <w:rFonts w:ascii="Times New Roman" w:hAnsi="Times New Roman"/>
          <w:sz w:val="28"/>
          <w:szCs w:val="28"/>
        </w:rPr>
        <w:t>образи для святих, форми одягу,</w:t>
      </w:r>
      <w:r w:rsidRPr="005B2054">
        <w:rPr>
          <w:rFonts w:ascii="Times New Roman" w:hAnsi="Times New Roman"/>
          <w:sz w:val="28"/>
          <w:szCs w:val="28"/>
        </w:rPr>
        <w:t xml:space="preserve"> композиції, кольорова гама. З’явилися такі характерні ознаки класицизму, як: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чіткість композиції та малюнка, закінченість форм, масштаб, перспектива,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особлива передача простору.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540">
        <w:rPr>
          <w:rFonts w:ascii="Times New Roman" w:hAnsi="Times New Roman"/>
          <w:sz w:val="28"/>
          <w:szCs w:val="28"/>
        </w:rPr>
        <w:t xml:space="preserve">   </w:t>
      </w:r>
      <w:r w:rsidRPr="005B2054">
        <w:rPr>
          <w:rFonts w:ascii="Times New Roman" w:hAnsi="Times New Roman"/>
          <w:sz w:val="28"/>
          <w:szCs w:val="28"/>
        </w:rPr>
        <w:t>Класицизм на Слобожанщині просувався поступово. Іконописці повільно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заміняли стилі та старалися взяти від попереднього мистецького доробку усе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цінне та усталене. Незважаючи на урядову та вищу церковну підтримку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2054">
        <w:rPr>
          <w:rFonts w:ascii="Times New Roman" w:hAnsi="Times New Roman"/>
          <w:sz w:val="28"/>
          <w:szCs w:val="28"/>
        </w:rPr>
        <w:t>академічного живопису, на Слобожанщині, мі</w:t>
      </w:r>
      <w:r>
        <w:rPr>
          <w:rFonts w:ascii="Times New Roman" w:hAnsi="Times New Roman"/>
          <w:sz w:val="28"/>
          <w:szCs w:val="28"/>
        </w:rPr>
        <w:t>сцеві художники поєднували риси</w:t>
      </w:r>
      <w:r w:rsidRPr="00394540">
        <w:rPr>
          <w:rFonts w:ascii="Times New Roman" w:hAnsi="Times New Roman"/>
          <w:sz w:val="28"/>
          <w:szCs w:val="28"/>
        </w:rPr>
        <w:t xml:space="preserve"> </w:t>
      </w:r>
      <w:r w:rsidRPr="005B2054">
        <w:rPr>
          <w:rFonts w:ascii="Times New Roman" w:hAnsi="Times New Roman"/>
          <w:sz w:val="28"/>
          <w:szCs w:val="28"/>
        </w:rPr>
        <w:t>класицизму зі старими фольклорними українськими традиціями.</w:t>
      </w:r>
    </w:p>
    <w:p w:rsidR="00A008D2" w:rsidRPr="005B2054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540">
        <w:rPr>
          <w:rFonts w:ascii="Times New Roman" w:hAnsi="Times New Roman"/>
          <w:sz w:val="28"/>
          <w:szCs w:val="28"/>
        </w:rPr>
        <w:t xml:space="preserve">   </w:t>
      </w:r>
      <w:r w:rsidRPr="005B2054">
        <w:rPr>
          <w:rFonts w:ascii="Times New Roman" w:hAnsi="Times New Roman"/>
          <w:sz w:val="28"/>
          <w:szCs w:val="28"/>
        </w:rPr>
        <w:t>Іконопис Слобожанщини, як своєрідне регі</w:t>
      </w:r>
      <w:r>
        <w:rPr>
          <w:rFonts w:ascii="Times New Roman" w:hAnsi="Times New Roman"/>
          <w:sz w:val="28"/>
          <w:szCs w:val="28"/>
        </w:rPr>
        <w:t>ональне мистецьке явище, займає</w:t>
      </w:r>
      <w:r w:rsidRPr="00394540">
        <w:rPr>
          <w:rFonts w:ascii="Times New Roman" w:hAnsi="Times New Roman"/>
          <w:sz w:val="28"/>
          <w:szCs w:val="28"/>
        </w:rPr>
        <w:t xml:space="preserve"> </w:t>
      </w:r>
      <w:r w:rsidRPr="005B2054">
        <w:rPr>
          <w:rFonts w:ascii="Times New Roman" w:hAnsi="Times New Roman"/>
          <w:sz w:val="28"/>
          <w:szCs w:val="28"/>
        </w:rPr>
        <w:t>помітне місце в загальному процесі розви</w:t>
      </w:r>
      <w:r>
        <w:rPr>
          <w:rFonts w:ascii="Times New Roman" w:hAnsi="Times New Roman"/>
          <w:sz w:val="28"/>
          <w:szCs w:val="28"/>
        </w:rPr>
        <w:t>тку українського образотворчого</w:t>
      </w:r>
      <w:r w:rsidRPr="00394540">
        <w:rPr>
          <w:rFonts w:ascii="Times New Roman" w:hAnsi="Times New Roman"/>
          <w:sz w:val="28"/>
          <w:szCs w:val="28"/>
        </w:rPr>
        <w:t xml:space="preserve"> </w:t>
      </w:r>
      <w:r w:rsidRPr="005B2054">
        <w:rPr>
          <w:rFonts w:ascii="Times New Roman" w:hAnsi="Times New Roman"/>
          <w:sz w:val="28"/>
          <w:szCs w:val="28"/>
        </w:rPr>
        <w:t>мистецтва.</w:t>
      </w:r>
    </w:p>
    <w:p w:rsidR="00A008D2" w:rsidRPr="002D28D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008D2" w:rsidRPr="0039454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94540">
        <w:rPr>
          <w:rFonts w:ascii="TimesNewRomanPSMT" w:hAnsi="TimesNewRomanPSMT" w:cs="TimesNewRomanPSMT"/>
        </w:rPr>
        <w:t>Література:</w:t>
      </w:r>
    </w:p>
    <w:p w:rsidR="00A008D2" w:rsidRPr="0039454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94540">
        <w:rPr>
          <w:rFonts w:ascii="TimesNewRomanPSMT" w:hAnsi="TimesNewRomanPSMT" w:cs="TimesNewRomanPSMT"/>
        </w:rPr>
        <w:t>1. Степовик Д. Історія української ікони Х–ХХ століття. – К.: Либідь, 1996. –437 с.</w:t>
      </w:r>
    </w:p>
    <w:p w:rsidR="00A008D2" w:rsidRPr="0039454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94540">
        <w:rPr>
          <w:rFonts w:ascii="TimesNewRomanPSMT" w:hAnsi="TimesNewRomanPSMT" w:cs="TimesNewRomanPSMT"/>
        </w:rPr>
        <w:t>2. Паньок Т.В. Слобожанська ікона ХVІІ – початку ХІХ століття. – Х.: ФО-П «Іванова»,</w:t>
      </w:r>
    </w:p>
    <w:p w:rsidR="00A008D2" w:rsidRPr="0039454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94540">
        <w:rPr>
          <w:rFonts w:ascii="TimesNewRomanPSMT" w:hAnsi="TimesNewRomanPSMT" w:cs="TimesNewRomanPSMT"/>
        </w:rPr>
        <w:t>2008. – 280 с.</w:t>
      </w:r>
    </w:p>
    <w:p w:rsidR="00A008D2" w:rsidRPr="00394540" w:rsidRDefault="00A008D2" w:rsidP="005B20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94540">
        <w:rPr>
          <w:rFonts w:ascii="TimesNewRomanPSMT" w:hAnsi="TimesNewRomanPSMT" w:cs="TimesNewRomanPSMT"/>
        </w:rPr>
        <w:t>3. Фомин П. Г. Церковные древности Харьковского края: Историко-археологический очерк.</w:t>
      </w:r>
    </w:p>
    <w:p w:rsidR="00A008D2" w:rsidRPr="00394540" w:rsidRDefault="00A008D2" w:rsidP="005B2054">
      <w:r w:rsidRPr="00394540">
        <w:rPr>
          <w:rFonts w:ascii="TimesNewRomanPSMT" w:hAnsi="TimesNewRomanPSMT" w:cs="TimesNewRomanPSMT"/>
        </w:rPr>
        <w:t>– Харьков: Епарх</w:t>
      </w:r>
      <w:bookmarkStart w:id="0" w:name="_GoBack"/>
      <w:bookmarkEnd w:id="0"/>
      <w:r w:rsidRPr="00394540">
        <w:rPr>
          <w:rFonts w:ascii="TimesNewRomanPSMT" w:hAnsi="TimesNewRomanPSMT" w:cs="TimesNewRomanPSMT"/>
        </w:rPr>
        <w:t>иальная типография, 1916. – Вып. 1. – 233 с.</w:t>
      </w:r>
    </w:p>
    <w:sectPr w:rsidR="00A008D2" w:rsidRPr="00394540" w:rsidSect="00D9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0A"/>
    <w:rsid w:val="002D28D0"/>
    <w:rsid w:val="00394540"/>
    <w:rsid w:val="0043060A"/>
    <w:rsid w:val="005B2054"/>
    <w:rsid w:val="00A008D2"/>
    <w:rsid w:val="00D96787"/>
    <w:rsid w:val="00E57B7D"/>
    <w:rsid w:val="00E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1437</Words>
  <Characters>8195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10</cp:lastModifiedBy>
  <cp:revision>3</cp:revision>
  <dcterms:created xsi:type="dcterms:W3CDTF">2014-11-07T19:21:00Z</dcterms:created>
  <dcterms:modified xsi:type="dcterms:W3CDTF">2014-11-12T13:55:00Z</dcterms:modified>
</cp:coreProperties>
</file>